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color w:val="14171A"/>
          <w:sz w:val="34"/>
          <w:szCs w:val="34"/>
        </w:rPr>
        <w:t xml:space="preserve">Silent</w:t>
      </w:r>
      <w:r>
        <w:rPr>
          <w:rFonts w:ascii="Calibri" w:cs="Calibri" w:eastAsia="Calibri" w:hAnsi="Calibri"/>
          <w:b/>
          <w:bCs/>
          <w:color w:val="14171A"/>
          <w:sz w:val="34"/>
          <w:szCs w:val="34"/>
        </w:rPr>
        <w:t xml:space="preserve">Shift</w:t>
      </w:r>
      <w:r>
        <w:rPr>
          <w:rFonts w:ascii="Calibri" w:cs="Calibri" w:eastAsia="Calibri" w:hAnsi="Calibri"/>
          <w:color w:val="6B7A74"/>
          <w:sz w:val="26"/>
          <w:szCs w:val="26"/>
        </w:rPr>
        <w:t xml:space="preserve">   Mutual Non-Disclosure Agreement</w:t>
      </w:r>
    </w:p>
    <w:p>
      <w:pPr>
        <w:pBdr>
          <w:bottom w:val="single" w:color="D8DEDB" w:sz="4"/>
        </w:pBdr>
        <w:spacing w:after="120"/>
      </w:pPr>
    </w:p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Between: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Thomas Jutla, trading as SilentShift, Reading, England</w:t>
      </w:r>
    </w:p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And: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[CLIENT NAME], [COMPANY NAME &amp; NUMBER], [ADDRESS]</w:t>
      </w:r>
    </w:p>
    <w:p>
      <w:p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Date: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[DATE]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We’re about to discuss and possibly do work together. Each of us will see things the other treats as private — for SilentShift that means your systems, your data, your customers, your numbers, and how your business runs. This agreement protects both directions.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7564A"/>
          <w:sz w:val="24"/>
          <w:szCs w:val="24"/>
        </w:rPr>
        <w:t xml:space="preserve">1. What counts as confidential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Everything either of us learns about the other’s business that isn’t already public — including anything seen in each other’s systems, documents, data, prices, plans, customers, suppliers and methods — whether seen on screen, on paper, or in conversation.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7564A"/>
          <w:sz w:val="24"/>
          <w:szCs w:val="24"/>
        </w:rPr>
        <w:t xml:space="preserve">2. What we each promise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Not shared.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We don’t disclose the other’s confidential information to anyone, except our own people and advisers who need it for the work and are bound by the same duty.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Not removed.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We don’t copy, download or take away the other’s information beyond what the agreed work genuinely needs — and anything taken for the work is deleted when the work is done or on request.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Not repeated.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We don’t use the other’s information for anything except the work itself. Not for another client, not for our own products, not for a story at a dinner party.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/>
          <w:bCs/>
          <w:i w:val="false"/>
          <w:iCs w:val="false"/>
          <w:color w:val="14171A"/>
          <w:sz w:val="21"/>
          <w:szCs w:val="21"/>
        </w:rPr>
        <w:t xml:space="preserve">Kept safe.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We protect it at least as carefully as we protect our own — in SilentShift’s case, encrypted storage and no plain-text credentials.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7564A"/>
          <w:sz w:val="24"/>
          <w:szCs w:val="24"/>
        </w:rPr>
        <w:t xml:space="preserve">3. What isn’t covered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Information that is already public (through no fault of ours), that the receiving party already legitimately knew, that was developed independently, or that must be disclosed by law — though if the law compels disclosure, we tell the other party first where legally possible.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7564A"/>
          <w:sz w:val="24"/>
          <w:szCs w:val="24"/>
        </w:rPr>
        <w:t xml:space="preserve">4. How long it lasts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These obligations start on the date above and continue for three years after our last engagement ends — and for anything that amounts to a trade secret, for as long as it stays one.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7564A"/>
          <w:sz w:val="24"/>
          <w:szCs w:val="24"/>
        </w:rPr>
        <w:t xml:space="preserve">5. The practical bits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On request, or when the work ends, each of us returns or deletes the other’s confidential information and confirms it in writing.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Nothing here transfers ownership of any information, and signing this doesn’t commit either of us to any engagement.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If confidence is breached, the injured party can seek an injunction as well as damages — some harm can’t be fixed with money after the fact.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71A"/>
          <w:sz w:val="21"/>
          <w:szCs w:val="21"/>
        </w:rPr>
        <w:t xml:space="preserve">This agreement is governed by the law of England and Wales.</w:t>
      </w:r>
    </w:p>
    <w:p>
      <w:pPr>
        <w:spacing w:after="200" w:before="300"/>
      </w:pPr>
      <w:r>
        <w:rPr>
          <w:rFonts w:ascii="Calibri" w:cs="Calibri" w:eastAsia="Calibri" w:hAnsi="Calibri"/>
          <w:color w:val="14171A"/>
          <w:sz w:val="21"/>
          <w:szCs w:val="21"/>
        </w:rPr>
        <w:t xml:space="preserve">Signed for SilentShift:  ______________________    Date: __________</w:t>
      </w:r>
    </w:p>
    <w:p>
      <w:pPr>
        <w:spacing w:after="240"/>
      </w:pPr>
      <w:r>
        <w:rPr>
          <w:rFonts w:ascii="Calibri" w:cs="Calibri" w:eastAsia="Calibri" w:hAnsi="Calibri"/>
          <w:color w:val="14171A"/>
          <w:sz w:val="21"/>
          <w:szCs w:val="21"/>
        </w:rPr>
        <w:t xml:space="preserve">Signed for [COMPANY]:  ______________________    Date: __________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2026-07-29T08:11:21.973Z</dcterms:created>
  <dcterms:modified xsi:type="dcterms:W3CDTF">2026-07-29T08:11:21.979Z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